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470" w:rsidRDefault="00315470"/>
    <w:p w:rsidR="00315470" w:rsidRPr="003A070C" w:rsidRDefault="00315470">
      <w:pPr>
        <w:rPr>
          <w:rFonts w:ascii="Verdana" w:hAnsi="Verdana"/>
        </w:rPr>
      </w:pPr>
    </w:p>
    <w:p w:rsidR="00315470" w:rsidRPr="003A070C" w:rsidRDefault="00315470" w:rsidP="00AB629D">
      <w:pPr>
        <w:pBdr>
          <w:top w:val="single" w:sz="4" w:space="1" w:color="943634"/>
          <w:bottom w:val="single" w:sz="4" w:space="1" w:color="943634"/>
        </w:pBdr>
        <w:jc w:val="center"/>
        <w:rPr>
          <w:rFonts w:ascii="Verdana" w:hAnsi="Verdana"/>
          <w:color w:val="800000"/>
          <w:sz w:val="56"/>
          <w:szCs w:val="56"/>
        </w:rPr>
      </w:pPr>
      <w:r w:rsidRPr="003A070C">
        <w:rPr>
          <w:rFonts w:ascii="Verdana" w:hAnsi="Verdana"/>
          <w:color w:val="800000"/>
          <w:sz w:val="56"/>
          <w:szCs w:val="56"/>
        </w:rPr>
        <w:t xml:space="preserve">El </w:t>
      </w:r>
      <w:r w:rsidRPr="003A070C">
        <w:rPr>
          <w:rFonts w:ascii="Verdana" w:hAnsi="Verdana"/>
          <w:b/>
          <w:color w:val="800000"/>
          <w:sz w:val="56"/>
          <w:szCs w:val="56"/>
        </w:rPr>
        <w:t>CGPJ</w:t>
      </w:r>
      <w:r w:rsidRPr="003A070C">
        <w:rPr>
          <w:rFonts w:ascii="Verdana" w:hAnsi="Verdana"/>
          <w:color w:val="800000"/>
          <w:sz w:val="56"/>
          <w:szCs w:val="56"/>
        </w:rPr>
        <w:t xml:space="preserve"> informa</w:t>
      </w:r>
    </w:p>
    <w:p w:rsidR="00F133CF" w:rsidRPr="003A070C" w:rsidRDefault="00F133CF" w:rsidP="00F133CF">
      <w:pPr>
        <w:rPr>
          <w:rFonts w:ascii="Verdana" w:hAnsi="Verdana"/>
          <w:b/>
          <w:sz w:val="28"/>
          <w:szCs w:val="28"/>
        </w:rPr>
      </w:pPr>
    </w:p>
    <w:p w:rsidR="00213F4B" w:rsidRDefault="00213F4B" w:rsidP="00F133CF">
      <w:pPr>
        <w:rPr>
          <w:rFonts w:ascii="Verdana" w:hAnsi="Verdana"/>
          <w:b/>
          <w:sz w:val="28"/>
          <w:szCs w:val="28"/>
        </w:rPr>
      </w:pPr>
    </w:p>
    <w:p w:rsidR="00881BEB" w:rsidRDefault="00DA4EA3" w:rsidP="00881BEB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El CGPJ </w:t>
      </w:r>
      <w:r w:rsidR="00F545C7">
        <w:rPr>
          <w:rFonts w:ascii="Verdana" w:hAnsi="Verdana"/>
          <w:b/>
          <w:sz w:val="28"/>
          <w:szCs w:val="28"/>
        </w:rPr>
        <w:t xml:space="preserve">establece las directrices para garantizar el servicio público </w:t>
      </w:r>
      <w:r w:rsidR="00DD39F9">
        <w:rPr>
          <w:rFonts w:ascii="Verdana" w:hAnsi="Verdana"/>
          <w:b/>
          <w:sz w:val="28"/>
          <w:szCs w:val="28"/>
        </w:rPr>
        <w:t>judicial</w:t>
      </w:r>
      <w:r w:rsidR="00F545C7">
        <w:rPr>
          <w:rFonts w:ascii="Verdana" w:hAnsi="Verdana"/>
          <w:b/>
          <w:sz w:val="28"/>
          <w:szCs w:val="28"/>
        </w:rPr>
        <w:t xml:space="preserve"> </w:t>
      </w:r>
      <w:r w:rsidR="00EC4B5F">
        <w:rPr>
          <w:rFonts w:ascii="Verdana" w:hAnsi="Verdana"/>
          <w:b/>
          <w:sz w:val="28"/>
          <w:szCs w:val="28"/>
        </w:rPr>
        <w:t>adaptado a las</w:t>
      </w:r>
      <w:r w:rsidR="00F545C7">
        <w:rPr>
          <w:rFonts w:ascii="Verdana" w:hAnsi="Verdana"/>
          <w:b/>
          <w:sz w:val="28"/>
          <w:szCs w:val="28"/>
        </w:rPr>
        <w:t xml:space="preserve"> recomendaciones de las autoridades sanitarias</w:t>
      </w:r>
    </w:p>
    <w:p w:rsidR="00881BEB" w:rsidRDefault="00881BEB" w:rsidP="00881BEB">
      <w:pPr>
        <w:jc w:val="both"/>
        <w:rPr>
          <w:rFonts w:ascii="Verdana" w:hAnsi="Verdana"/>
        </w:rPr>
      </w:pPr>
    </w:p>
    <w:p w:rsidR="00346B6C" w:rsidRDefault="009F1A06" w:rsidP="00346B6C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La Comisión Permanente </w:t>
      </w:r>
      <w:r w:rsidR="00F545C7">
        <w:rPr>
          <w:rFonts w:ascii="Verdana" w:hAnsi="Verdana"/>
        </w:rPr>
        <w:t xml:space="preserve">aprueba </w:t>
      </w:r>
      <w:r w:rsidR="003C7E5B">
        <w:rPr>
          <w:rFonts w:ascii="Verdana" w:hAnsi="Verdana"/>
        </w:rPr>
        <w:t>una instrucción</w:t>
      </w:r>
      <w:r w:rsidR="00F545C7">
        <w:rPr>
          <w:rFonts w:ascii="Verdana" w:hAnsi="Verdana"/>
        </w:rPr>
        <w:t xml:space="preserve"> que contempla </w:t>
      </w:r>
      <w:r w:rsidR="00DD39F9">
        <w:rPr>
          <w:rFonts w:ascii="Verdana" w:hAnsi="Verdana"/>
        </w:rPr>
        <w:t>dos</w:t>
      </w:r>
      <w:r w:rsidR="00F545C7">
        <w:rPr>
          <w:rFonts w:ascii="Verdana" w:hAnsi="Verdana"/>
        </w:rPr>
        <w:t xml:space="preserve"> escenarios, </w:t>
      </w:r>
      <w:r w:rsidR="00DD39F9">
        <w:rPr>
          <w:rFonts w:ascii="Verdana" w:hAnsi="Verdana"/>
        </w:rPr>
        <w:t>uno general y otro para los territorios en los que se hayan establecido medidas especialmente intensas para limitar la propagación del coronavirus COVID-19</w:t>
      </w:r>
    </w:p>
    <w:p w:rsidR="00036318" w:rsidRDefault="00036318" w:rsidP="00036318">
      <w:pPr>
        <w:ind w:left="720"/>
        <w:jc w:val="both"/>
        <w:rPr>
          <w:rFonts w:ascii="Verdana" w:hAnsi="Verdana"/>
        </w:rPr>
      </w:pPr>
    </w:p>
    <w:p w:rsidR="00F545C7" w:rsidRDefault="00036318" w:rsidP="009801EA">
      <w:pPr>
        <w:numPr>
          <w:ilvl w:val="0"/>
          <w:numId w:val="1"/>
        </w:numPr>
        <w:jc w:val="both"/>
        <w:rPr>
          <w:rFonts w:ascii="Verdana" w:hAnsi="Verdana"/>
        </w:rPr>
      </w:pPr>
      <w:r w:rsidRPr="00DD39F9">
        <w:rPr>
          <w:rFonts w:ascii="Verdana" w:hAnsi="Verdana"/>
        </w:rPr>
        <w:t xml:space="preserve">En el escenario </w:t>
      </w:r>
      <w:r w:rsidR="00DD39F9" w:rsidRPr="00DD39F9">
        <w:rPr>
          <w:rFonts w:ascii="Verdana" w:hAnsi="Verdana"/>
        </w:rPr>
        <w:t>2</w:t>
      </w:r>
      <w:r w:rsidR="005A3D28" w:rsidRPr="005A3D28">
        <w:rPr>
          <w:rFonts w:ascii="Verdana" w:hAnsi="Verdana"/>
        </w:rPr>
        <w:t>, los jueces podrán suspender actuaciones procesales ya acordadas por razones sanitarias, lo que precisará de previa autorización del presidente del TSJ o de la Audiencia Nacional y de ratificación posterior por el Consejo</w:t>
      </w:r>
    </w:p>
    <w:p w:rsidR="00DD39F9" w:rsidRDefault="00DD39F9" w:rsidP="00DD39F9">
      <w:pPr>
        <w:pStyle w:val="Prrafodelista"/>
        <w:rPr>
          <w:rFonts w:ascii="Verdana" w:hAnsi="Verdana"/>
        </w:rPr>
      </w:pPr>
    </w:p>
    <w:p w:rsidR="00F545C7" w:rsidRDefault="00F545C7" w:rsidP="00346B6C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Se constituye una Comisión de </w:t>
      </w:r>
      <w:r w:rsidR="003C7E5B">
        <w:rPr>
          <w:rFonts w:ascii="Verdana" w:hAnsi="Verdana"/>
        </w:rPr>
        <w:t xml:space="preserve">Coordinación y </w:t>
      </w:r>
      <w:r>
        <w:rPr>
          <w:rFonts w:ascii="Verdana" w:hAnsi="Verdana"/>
        </w:rPr>
        <w:t>Seguimiento que</w:t>
      </w:r>
      <w:r w:rsidR="00036318">
        <w:rPr>
          <w:rFonts w:ascii="Verdana" w:hAnsi="Verdana"/>
        </w:rPr>
        <w:t xml:space="preserve"> podrá</w:t>
      </w:r>
      <w:r>
        <w:rPr>
          <w:rFonts w:ascii="Verdana" w:hAnsi="Verdana"/>
        </w:rPr>
        <w:t xml:space="preserve"> propon</w:t>
      </w:r>
      <w:r w:rsidR="00036318">
        <w:rPr>
          <w:rFonts w:ascii="Verdana" w:hAnsi="Verdana"/>
        </w:rPr>
        <w:t>er</w:t>
      </w:r>
      <w:r>
        <w:rPr>
          <w:rFonts w:ascii="Verdana" w:hAnsi="Verdana"/>
        </w:rPr>
        <w:t xml:space="preserve"> nuevas medidas a la vista de las recomendaciones sanitarias y de las incidencias que comuniquen los presidentes de los </w:t>
      </w:r>
      <w:r w:rsidR="003C7E5B">
        <w:rPr>
          <w:rFonts w:ascii="Verdana" w:hAnsi="Verdana"/>
        </w:rPr>
        <w:t>distintos tribunales</w:t>
      </w:r>
    </w:p>
    <w:p w:rsidR="00EC4B5F" w:rsidRDefault="00EC4B5F" w:rsidP="00EC4B5F">
      <w:pPr>
        <w:pStyle w:val="Prrafodelista"/>
        <w:rPr>
          <w:rFonts w:ascii="Verdana" w:hAnsi="Verdana"/>
        </w:rPr>
      </w:pPr>
    </w:p>
    <w:p w:rsidR="00EC4B5F" w:rsidRDefault="00EC4B5F" w:rsidP="00346B6C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Entre las recomendaciones generales se incluyen</w:t>
      </w:r>
      <w:r w:rsidR="00CF6B12">
        <w:rPr>
          <w:rFonts w:ascii="Verdana" w:hAnsi="Verdana"/>
        </w:rPr>
        <w:t xml:space="preserve"> las medidas de conciliación de la vida personal y laboral,</w:t>
      </w:r>
      <w:r>
        <w:rPr>
          <w:rFonts w:ascii="Verdana" w:hAnsi="Verdana"/>
        </w:rPr>
        <w:t xml:space="preserve"> el </w:t>
      </w:r>
      <w:r w:rsidR="00CF6B12">
        <w:rPr>
          <w:rFonts w:ascii="Verdana" w:hAnsi="Verdana"/>
        </w:rPr>
        <w:t>tele</w:t>
      </w:r>
      <w:r>
        <w:rPr>
          <w:rFonts w:ascii="Verdana" w:hAnsi="Verdana"/>
        </w:rPr>
        <w:t>trabajo o la dispensa del uso de la toga para los abogados</w:t>
      </w:r>
    </w:p>
    <w:p w:rsidR="00032FF2" w:rsidRDefault="00032FF2" w:rsidP="00032FF2">
      <w:pPr>
        <w:ind w:left="720"/>
        <w:jc w:val="both"/>
        <w:rPr>
          <w:rFonts w:ascii="Verdana" w:hAnsi="Verdana"/>
        </w:rPr>
      </w:pPr>
    </w:p>
    <w:p w:rsidR="00DB04AB" w:rsidRDefault="00DB04AB" w:rsidP="00F133CF">
      <w:pPr>
        <w:rPr>
          <w:rFonts w:ascii="Verdana" w:hAnsi="Verdana"/>
          <w:sz w:val="22"/>
          <w:szCs w:val="22"/>
        </w:rPr>
      </w:pPr>
    </w:p>
    <w:p w:rsidR="00F133CF" w:rsidRPr="00F133CF" w:rsidRDefault="00F133CF" w:rsidP="00F133CF">
      <w:pPr>
        <w:rPr>
          <w:rFonts w:ascii="Verdana" w:hAnsi="Verdana"/>
          <w:sz w:val="22"/>
          <w:szCs w:val="22"/>
        </w:rPr>
      </w:pPr>
      <w:r w:rsidRPr="00F133CF">
        <w:rPr>
          <w:rFonts w:ascii="Verdana" w:hAnsi="Verdana"/>
          <w:sz w:val="22"/>
          <w:szCs w:val="22"/>
        </w:rPr>
        <w:t xml:space="preserve">Madrid, </w:t>
      </w:r>
      <w:r w:rsidR="00F545C7">
        <w:rPr>
          <w:rFonts w:ascii="Verdana" w:hAnsi="Verdana"/>
          <w:sz w:val="22"/>
          <w:szCs w:val="22"/>
        </w:rPr>
        <w:t>11</w:t>
      </w:r>
      <w:r w:rsidR="00BB353D">
        <w:rPr>
          <w:rFonts w:ascii="Verdana" w:hAnsi="Verdana"/>
          <w:sz w:val="22"/>
          <w:szCs w:val="22"/>
        </w:rPr>
        <w:t xml:space="preserve"> de </w:t>
      </w:r>
      <w:r w:rsidR="00F545C7">
        <w:rPr>
          <w:rFonts w:ascii="Verdana" w:hAnsi="Verdana"/>
          <w:sz w:val="22"/>
          <w:szCs w:val="22"/>
        </w:rPr>
        <w:t>marzo</w:t>
      </w:r>
      <w:r w:rsidR="00AD1F86">
        <w:rPr>
          <w:rFonts w:ascii="Verdana" w:hAnsi="Verdana"/>
          <w:sz w:val="22"/>
          <w:szCs w:val="22"/>
        </w:rPr>
        <w:t xml:space="preserve"> </w:t>
      </w:r>
      <w:r w:rsidRPr="00F133CF">
        <w:rPr>
          <w:rFonts w:ascii="Verdana" w:hAnsi="Verdana"/>
          <w:sz w:val="22"/>
          <w:szCs w:val="22"/>
        </w:rPr>
        <w:t xml:space="preserve">de </w:t>
      </w:r>
      <w:r w:rsidR="008D1265">
        <w:rPr>
          <w:rFonts w:ascii="Verdana" w:hAnsi="Verdana"/>
          <w:sz w:val="22"/>
          <w:szCs w:val="22"/>
        </w:rPr>
        <w:t>20</w:t>
      </w:r>
      <w:r w:rsidR="006B06A8">
        <w:rPr>
          <w:rFonts w:ascii="Verdana" w:hAnsi="Verdana"/>
          <w:sz w:val="22"/>
          <w:szCs w:val="22"/>
        </w:rPr>
        <w:t>20</w:t>
      </w:r>
      <w:r w:rsidRPr="00F133CF">
        <w:rPr>
          <w:rFonts w:ascii="Verdana" w:hAnsi="Verdana"/>
          <w:sz w:val="22"/>
          <w:szCs w:val="22"/>
        </w:rPr>
        <w:t>.-</w:t>
      </w:r>
    </w:p>
    <w:p w:rsidR="00F133CF" w:rsidRDefault="00F133CF" w:rsidP="00F133CF">
      <w:pPr>
        <w:jc w:val="both"/>
        <w:rPr>
          <w:rFonts w:ascii="Verdana" w:hAnsi="Verdana"/>
          <w:sz w:val="22"/>
          <w:szCs w:val="22"/>
        </w:rPr>
      </w:pPr>
    </w:p>
    <w:p w:rsidR="00E5296D" w:rsidRDefault="009F1A06" w:rsidP="009F1A0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Comisión Permanente </w:t>
      </w:r>
      <w:r w:rsidR="00A33E9E">
        <w:rPr>
          <w:rFonts w:ascii="Verdana" w:hAnsi="Verdana"/>
          <w:sz w:val="22"/>
          <w:szCs w:val="22"/>
        </w:rPr>
        <w:t xml:space="preserve">del </w:t>
      </w:r>
      <w:r w:rsidR="00DD5C2B">
        <w:rPr>
          <w:rFonts w:ascii="Verdana" w:hAnsi="Verdana"/>
          <w:sz w:val="22"/>
          <w:szCs w:val="22"/>
        </w:rPr>
        <w:t xml:space="preserve">Consejo </w:t>
      </w:r>
      <w:r w:rsidR="00D133D9">
        <w:rPr>
          <w:rFonts w:ascii="Verdana" w:hAnsi="Verdana"/>
          <w:sz w:val="22"/>
          <w:szCs w:val="22"/>
        </w:rPr>
        <w:t>General del Poder Judicial</w:t>
      </w:r>
      <w:r w:rsidR="00A33E9E">
        <w:rPr>
          <w:rFonts w:ascii="Verdana" w:hAnsi="Verdana"/>
          <w:sz w:val="22"/>
          <w:szCs w:val="22"/>
        </w:rPr>
        <w:t xml:space="preserve"> </w:t>
      </w:r>
      <w:r w:rsidR="00036318">
        <w:rPr>
          <w:rFonts w:ascii="Verdana" w:hAnsi="Verdana"/>
          <w:sz w:val="22"/>
          <w:szCs w:val="22"/>
        </w:rPr>
        <w:t>ha aprobado hoy en sesión extraordinaria un</w:t>
      </w:r>
      <w:r w:rsidR="003C7E5B">
        <w:rPr>
          <w:rFonts w:ascii="Verdana" w:hAnsi="Verdana"/>
          <w:sz w:val="22"/>
          <w:szCs w:val="22"/>
        </w:rPr>
        <w:t>a instrucción</w:t>
      </w:r>
      <w:r w:rsidR="00036318">
        <w:rPr>
          <w:rFonts w:ascii="Verdana" w:hAnsi="Verdana"/>
          <w:sz w:val="22"/>
          <w:szCs w:val="22"/>
        </w:rPr>
        <w:t xml:space="preserve"> de actuaciones judiciales que tiene por objeto garantizar el servicio público </w:t>
      </w:r>
      <w:r w:rsidR="00DD39F9">
        <w:rPr>
          <w:rFonts w:ascii="Verdana" w:hAnsi="Verdana"/>
          <w:sz w:val="22"/>
          <w:szCs w:val="22"/>
        </w:rPr>
        <w:t>judicial, adaptado a</w:t>
      </w:r>
      <w:r w:rsidR="00036318">
        <w:rPr>
          <w:rFonts w:ascii="Verdana" w:hAnsi="Verdana"/>
          <w:sz w:val="22"/>
          <w:szCs w:val="22"/>
        </w:rPr>
        <w:t xml:space="preserve"> las recomendaciones de las autoridades sanitarias en relación con la epidemia de coronavirus COVID-19.</w:t>
      </w:r>
    </w:p>
    <w:p w:rsidR="00036318" w:rsidRDefault="00036318" w:rsidP="009F1A06">
      <w:pPr>
        <w:jc w:val="both"/>
        <w:rPr>
          <w:rFonts w:ascii="Verdana" w:hAnsi="Verdana"/>
          <w:sz w:val="22"/>
          <w:szCs w:val="22"/>
        </w:rPr>
      </w:pPr>
    </w:p>
    <w:p w:rsidR="00036318" w:rsidRDefault="003C7E5B" w:rsidP="009F1A0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 instrucción c</w:t>
      </w:r>
      <w:r w:rsidR="00036318">
        <w:rPr>
          <w:rFonts w:ascii="Verdana" w:hAnsi="Verdana"/>
          <w:sz w:val="22"/>
          <w:szCs w:val="22"/>
        </w:rPr>
        <w:t>onsta de dos partes</w:t>
      </w:r>
      <w:r w:rsidR="00445CDD">
        <w:rPr>
          <w:rFonts w:ascii="Verdana" w:hAnsi="Verdana"/>
          <w:sz w:val="22"/>
          <w:szCs w:val="22"/>
        </w:rPr>
        <w:t>,</w:t>
      </w:r>
      <w:r w:rsidR="00036318">
        <w:rPr>
          <w:rFonts w:ascii="Verdana" w:hAnsi="Verdana"/>
          <w:sz w:val="22"/>
          <w:szCs w:val="22"/>
        </w:rPr>
        <w:t xml:space="preserve"> una informativa con las recomendaciones </w:t>
      </w:r>
      <w:r w:rsidR="00445CDD">
        <w:rPr>
          <w:rFonts w:ascii="Verdana" w:hAnsi="Verdana"/>
          <w:sz w:val="22"/>
          <w:szCs w:val="22"/>
        </w:rPr>
        <w:t>de protección individual</w:t>
      </w:r>
      <w:r w:rsidR="00CD61C7">
        <w:rPr>
          <w:rFonts w:ascii="Verdana" w:hAnsi="Verdana"/>
          <w:sz w:val="22"/>
          <w:szCs w:val="22"/>
        </w:rPr>
        <w:t xml:space="preserve"> y colectiva</w:t>
      </w:r>
      <w:r w:rsidR="00445CDD">
        <w:rPr>
          <w:rFonts w:ascii="Verdana" w:hAnsi="Verdana"/>
          <w:sz w:val="22"/>
          <w:szCs w:val="22"/>
        </w:rPr>
        <w:t xml:space="preserve"> frente a </w:t>
      </w:r>
      <w:r w:rsidR="00CD61C7">
        <w:rPr>
          <w:rFonts w:ascii="Verdana" w:hAnsi="Verdana"/>
          <w:sz w:val="22"/>
          <w:szCs w:val="22"/>
        </w:rPr>
        <w:t xml:space="preserve">la </w:t>
      </w:r>
      <w:r w:rsidR="00445CDD">
        <w:rPr>
          <w:rFonts w:ascii="Verdana" w:hAnsi="Verdana"/>
          <w:sz w:val="22"/>
          <w:szCs w:val="22"/>
        </w:rPr>
        <w:t xml:space="preserve">enfermedad y otra que establece directrices en relación con la actuación judicial en función de distintos escenarios: </w:t>
      </w:r>
      <w:r w:rsidR="00CD61C7">
        <w:rPr>
          <w:rFonts w:ascii="Verdana" w:hAnsi="Verdana"/>
          <w:sz w:val="22"/>
          <w:szCs w:val="22"/>
        </w:rPr>
        <w:t xml:space="preserve">(1) </w:t>
      </w:r>
      <w:r w:rsidR="00DD39F9">
        <w:rPr>
          <w:rFonts w:ascii="Verdana" w:hAnsi="Verdana"/>
          <w:sz w:val="22"/>
          <w:szCs w:val="22"/>
        </w:rPr>
        <w:t xml:space="preserve">uno general para todo el territorio nacional y </w:t>
      </w:r>
      <w:r w:rsidR="00CD61C7">
        <w:rPr>
          <w:rFonts w:ascii="Verdana" w:hAnsi="Verdana"/>
          <w:sz w:val="22"/>
          <w:szCs w:val="22"/>
        </w:rPr>
        <w:t xml:space="preserve">(2) </w:t>
      </w:r>
      <w:r w:rsidR="00DD39F9">
        <w:rPr>
          <w:rFonts w:ascii="Verdana" w:hAnsi="Verdana"/>
          <w:sz w:val="22"/>
          <w:szCs w:val="22"/>
        </w:rPr>
        <w:t xml:space="preserve">otro </w:t>
      </w:r>
      <w:r w:rsidR="00DD39F9">
        <w:rPr>
          <w:rFonts w:ascii="Verdana" w:hAnsi="Verdana"/>
          <w:sz w:val="22"/>
          <w:szCs w:val="22"/>
        </w:rPr>
        <w:lastRenderedPageBreak/>
        <w:t>para los territorios en los que se hayan establecido medidas especialmente intensas para limitar la propagación y el contagio de la enfermedad</w:t>
      </w:r>
      <w:r w:rsidR="00445CDD">
        <w:rPr>
          <w:rFonts w:ascii="Verdana" w:hAnsi="Verdana"/>
          <w:sz w:val="22"/>
          <w:szCs w:val="22"/>
        </w:rPr>
        <w:t>.</w:t>
      </w:r>
    </w:p>
    <w:p w:rsidR="00DD39F9" w:rsidRPr="00DD39F9" w:rsidRDefault="00CF6B12" w:rsidP="00CF6B1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Bajo la dirección de la Comisión Permanente, se constituye </w:t>
      </w:r>
      <w:r w:rsidR="00DD39F9" w:rsidRPr="00DD39F9">
        <w:rPr>
          <w:rFonts w:ascii="Verdana" w:hAnsi="Verdana"/>
          <w:sz w:val="22"/>
          <w:szCs w:val="22"/>
        </w:rPr>
        <w:t xml:space="preserve">una Comisión de </w:t>
      </w:r>
      <w:r w:rsidR="003C7E5B">
        <w:rPr>
          <w:rFonts w:ascii="Verdana" w:hAnsi="Verdana"/>
          <w:sz w:val="22"/>
          <w:szCs w:val="22"/>
        </w:rPr>
        <w:t xml:space="preserve">Coordinación y </w:t>
      </w:r>
      <w:r w:rsidR="00DD39F9" w:rsidRPr="00DD39F9">
        <w:rPr>
          <w:rFonts w:ascii="Verdana" w:hAnsi="Verdana"/>
          <w:sz w:val="22"/>
          <w:szCs w:val="22"/>
        </w:rPr>
        <w:t xml:space="preserve">Seguimiento que estará integrada por el </w:t>
      </w:r>
      <w:r>
        <w:rPr>
          <w:rFonts w:ascii="Verdana" w:hAnsi="Verdana"/>
          <w:sz w:val="22"/>
          <w:szCs w:val="22"/>
        </w:rPr>
        <w:t xml:space="preserve">Secretario General, el </w:t>
      </w:r>
      <w:r w:rsidR="003C7E5B">
        <w:rPr>
          <w:rFonts w:ascii="Verdana" w:hAnsi="Verdana"/>
          <w:sz w:val="22"/>
          <w:szCs w:val="22"/>
        </w:rPr>
        <w:t xml:space="preserve">Gabinete de </w:t>
      </w:r>
      <w:r>
        <w:rPr>
          <w:rFonts w:ascii="Verdana" w:hAnsi="Verdana"/>
          <w:sz w:val="22"/>
          <w:szCs w:val="22"/>
        </w:rPr>
        <w:t xml:space="preserve">la </w:t>
      </w:r>
      <w:r w:rsidR="003C7E5B">
        <w:rPr>
          <w:rFonts w:ascii="Verdana" w:hAnsi="Verdana"/>
          <w:sz w:val="22"/>
          <w:szCs w:val="22"/>
        </w:rPr>
        <w:t xml:space="preserve">Presidencia, el </w:t>
      </w:r>
      <w:r w:rsidR="00DD39F9" w:rsidRPr="00DD39F9">
        <w:rPr>
          <w:rFonts w:ascii="Verdana" w:hAnsi="Verdana"/>
          <w:sz w:val="22"/>
          <w:szCs w:val="22"/>
        </w:rPr>
        <w:t>Gabinete Técnico, el Servicio de Inspección, la Oficina de Comunicación, el Servicio de Personal Judicial y la Sección de Prevención de Riesgos de la Carrera Judicial.</w:t>
      </w:r>
    </w:p>
    <w:p w:rsidR="00DD39F9" w:rsidRPr="00DD39F9" w:rsidRDefault="00DD39F9" w:rsidP="00DD39F9">
      <w:pPr>
        <w:jc w:val="both"/>
        <w:rPr>
          <w:rFonts w:ascii="Verdana" w:hAnsi="Verdana"/>
          <w:sz w:val="22"/>
          <w:szCs w:val="22"/>
        </w:rPr>
      </w:pPr>
    </w:p>
    <w:p w:rsidR="00DD39F9" w:rsidRDefault="00CF6B12" w:rsidP="00DD39F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DD39F9" w:rsidRPr="00DD39F9">
        <w:rPr>
          <w:rFonts w:ascii="Verdana" w:hAnsi="Verdana"/>
          <w:sz w:val="22"/>
          <w:szCs w:val="22"/>
        </w:rPr>
        <w:t xml:space="preserve"> la vista de las instrucciones y recomendaciones que dicten las autoridades sanitarias en cada momento y de las incidencias que vayan comunicando los presidentes de los Tribunales Superiores de Justicia, podrá</w:t>
      </w:r>
      <w:r>
        <w:rPr>
          <w:rFonts w:ascii="Verdana" w:hAnsi="Verdana"/>
          <w:sz w:val="22"/>
          <w:szCs w:val="22"/>
        </w:rPr>
        <w:t xml:space="preserve">n adoptarse nuevas medidas por la </w:t>
      </w:r>
      <w:r w:rsidR="00DD39F9" w:rsidRPr="00DD39F9">
        <w:rPr>
          <w:rFonts w:ascii="Verdana" w:hAnsi="Verdana"/>
          <w:sz w:val="22"/>
          <w:szCs w:val="22"/>
        </w:rPr>
        <w:t>Comisión Permanente.</w:t>
      </w:r>
    </w:p>
    <w:p w:rsidR="009C3AC3" w:rsidRDefault="009C3AC3" w:rsidP="00DD39F9">
      <w:pPr>
        <w:jc w:val="both"/>
        <w:rPr>
          <w:rFonts w:ascii="Verdana" w:hAnsi="Verdana"/>
          <w:sz w:val="22"/>
          <w:szCs w:val="22"/>
        </w:rPr>
      </w:pPr>
    </w:p>
    <w:p w:rsidR="009C3AC3" w:rsidRDefault="009C3AC3" w:rsidP="00DD39F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Los objetivos que se persiguen con las instrucciones acordadas hoy son</w:t>
      </w:r>
      <w:r w:rsidR="003C7E5B">
        <w:rPr>
          <w:rFonts w:ascii="Verdana" w:hAnsi="Verdana"/>
          <w:sz w:val="22"/>
          <w:szCs w:val="22"/>
        </w:rPr>
        <w:t xml:space="preserve">, por un lado, </w:t>
      </w:r>
      <w:r>
        <w:rPr>
          <w:rFonts w:ascii="Verdana" w:hAnsi="Verdana"/>
          <w:sz w:val="22"/>
          <w:szCs w:val="22"/>
        </w:rPr>
        <w:t>minimizar los contactos interpersonales que puedan favorecer la transmisión del coronavirus en dependencias judiciales o con ocasión de la prestación del servicio público judicial</w:t>
      </w:r>
      <w:r w:rsidR="003C7E5B">
        <w:rPr>
          <w:rFonts w:ascii="Verdana" w:hAnsi="Verdana"/>
          <w:sz w:val="22"/>
          <w:szCs w:val="22"/>
        </w:rPr>
        <w:t xml:space="preserve"> y</w:t>
      </w:r>
      <w:r>
        <w:rPr>
          <w:rFonts w:ascii="Verdana" w:hAnsi="Verdana"/>
          <w:sz w:val="22"/>
          <w:szCs w:val="22"/>
        </w:rPr>
        <w:t xml:space="preserve"> ajustar la prestación de este servicio a las indicaciones emanadas de las autoridades sanitarias, promo</w:t>
      </w:r>
      <w:r w:rsidR="003C7E5B">
        <w:rPr>
          <w:rFonts w:ascii="Verdana" w:hAnsi="Verdana"/>
          <w:sz w:val="22"/>
          <w:szCs w:val="22"/>
        </w:rPr>
        <w:t>viendo</w:t>
      </w:r>
      <w:r>
        <w:rPr>
          <w:rFonts w:ascii="Verdana" w:hAnsi="Verdana"/>
          <w:sz w:val="22"/>
          <w:szCs w:val="22"/>
        </w:rPr>
        <w:t xml:space="preserve"> la coordinación de las distintas instancias con competencias en el ámbito de la Administración de Justicia</w:t>
      </w:r>
      <w:r w:rsidR="003C7E5B">
        <w:rPr>
          <w:rFonts w:ascii="Verdana" w:hAnsi="Verdana"/>
          <w:sz w:val="22"/>
          <w:szCs w:val="22"/>
        </w:rPr>
        <w:t>; y por otro</w:t>
      </w:r>
      <w:r>
        <w:rPr>
          <w:rFonts w:ascii="Verdana" w:hAnsi="Verdana"/>
          <w:sz w:val="22"/>
          <w:szCs w:val="22"/>
        </w:rPr>
        <w:t xml:space="preserve"> </w:t>
      </w:r>
      <w:r w:rsidR="003C7E5B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>vitar actuaciones unilaterales y descoordinadas.</w:t>
      </w:r>
    </w:p>
    <w:p w:rsidR="009C3AC3" w:rsidRDefault="009C3AC3" w:rsidP="00DD39F9">
      <w:pPr>
        <w:jc w:val="both"/>
        <w:rPr>
          <w:rFonts w:ascii="Verdana" w:hAnsi="Verdana"/>
          <w:sz w:val="22"/>
          <w:szCs w:val="22"/>
        </w:rPr>
      </w:pPr>
    </w:p>
    <w:p w:rsidR="009C3AC3" w:rsidRPr="009C3AC3" w:rsidRDefault="009C3AC3" w:rsidP="00DD39F9">
      <w:pPr>
        <w:jc w:val="both"/>
        <w:rPr>
          <w:rFonts w:ascii="Verdana" w:hAnsi="Verdana"/>
          <w:b/>
          <w:bCs/>
          <w:sz w:val="22"/>
          <w:szCs w:val="22"/>
        </w:rPr>
      </w:pPr>
      <w:r w:rsidRPr="009C3AC3">
        <w:rPr>
          <w:rFonts w:ascii="Verdana" w:hAnsi="Verdana"/>
          <w:b/>
          <w:bCs/>
          <w:sz w:val="22"/>
          <w:szCs w:val="22"/>
        </w:rPr>
        <w:t>Medidas de protección</w:t>
      </w:r>
    </w:p>
    <w:p w:rsidR="009C3AC3" w:rsidRDefault="009C3AC3" w:rsidP="00DD39F9">
      <w:pPr>
        <w:jc w:val="both"/>
        <w:rPr>
          <w:rFonts w:ascii="Verdana" w:hAnsi="Verdana"/>
          <w:sz w:val="22"/>
          <w:szCs w:val="22"/>
        </w:rPr>
      </w:pPr>
    </w:p>
    <w:p w:rsidR="009C3AC3" w:rsidRDefault="00640482" w:rsidP="00DD39F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 instrucción</w:t>
      </w:r>
      <w:r w:rsidR="009C3AC3">
        <w:rPr>
          <w:rFonts w:ascii="Verdana" w:hAnsi="Verdana"/>
          <w:sz w:val="22"/>
          <w:szCs w:val="22"/>
        </w:rPr>
        <w:t xml:space="preserve"> recoge las medidas de protección individual frente a la enfermedad recomendadas por las autoridades sanitarias, entre ellas realizar una higiene de manos frecuente, evitar el contacto con personas que muestren signos de afección respiratoria o mantener una distancia de un metro con ellas.</w:t>
      </w:r>
    </w:p>
    <w:p w:rsidR="009C3AC3" w:rsidRDefault="009C3AC3" w:rsidP="00DD39F9">
      <w:pPr>
        <w:jc w:val="both"/>
        <w:rPr>
          <w:rFonts w:ascii="Verdana" w:hAnsi="Verdana"/>
          <w:sz w:val="22"/>
          <w:szCs w:val="22"/>
        </w:rPr>
      </w:pPr>
    </w:p>
    <w:p w:rsidR="009C3AC3" w:rsidRDefault="009C3AC3" w:rsidP="00DD39F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Además, y para el ámbito específico de la Administración de Justicia se recomiendan </w:t>
      </w:r>
      <w:r w:rsidR="00CF6B12">
        <w:rPr>
          <w:rFonts w:ascii="Verdana" w:hAnsi="Verdana"/>
          <w:sz w:val="22"/>
          <w:szCs w:val="22"/>
        </w:rPr>
        <w:t xml:space="preserve">la aplicación de medidas de conciliación entre la vida personal y laboral (permisos y autorizaciones), </w:t>
      </w:r>
      <w:r>
        <w:rPr>
          <w:rFonts w:ascii="Verdana" w:hAnsi="Verdana"/>
          <w:sz w:val="22"/>
          <w:szCs w:val="22"/>
        </w:rPr>
        <w:t xml:space="preserve">el fomento del </w:t>
      </w:r>
      <w:r w:rsidR="00CF6B12">
        <w:rPr>
          <w:rFonts w:ascii="Verdana" w:hAnsi="Verdana"/>
          <w:sz w:val="22"/>
          <w:szCs w:val="22"/>
        </w:rPr>
        <w:t>tele</w:t>
      </w:r>
      <w:r>
        <w:rPr>
          <w:rFonts w:ascii="Verdana" w:hAnsi="Verdana"/>
          <w:sz w:val="22"/>
          <w:szCs w:val="22"/>
        </w:rPr>
        <w:t xml:space="preserve">trabajo para las miembros de la Carrera Judicial que en función de sus características personales o estado biológico conocido puedan ser consideradas como especialmente sensibles (embarazo, patologías previas, medicación…); </w:t>
      </w:r>
      <w:r w:rsidR="00CF6B12"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 xml:space="preserve"> la dispensa del uso de la toga para los abogados en los actos procesales en los que este sea preceptivo.</w:t>
      </w:r>
    </w:p>
    <w:p w:rsidR="00EC4B5F" w:rsidRDefault="00EC4B5F" w:rsidP="00DD39F9">
      <w:pPr>
        <w:jc w:val="both"/>
        <w:rPr>
          <w:rFonts w:ascii="Verdana" w:hAnsi="Verdana"/>
          <w:sz w:val="22"/>
          <w:szCs w:val="22"/>
        </w:rPr>
      </w:pPr>
    </w:p>
    <w:p w:rsidR="00DD39F9" w:rsidRPr="00EC4B5F" w:rsidRDefault="00DD39F9" w:rsidP="00DD39F9">
      <w:pPr>
        <w:jc w:val="both"/>
        <w:rPr>
          <w:rFonts w:ascii="Verdana" w:hAnsi="Verdana"/>
          <w:b/>
          <w:bCs/>
          <w:sz w:val="22"/>
          <w:szCs w:val="22"/>
        </w:rPr>
      </w:pPr>
      <w:r w:rsidRPr="00EC4B5F">
        <w:rPr>
          <w:rFonts w:ascii="Verdana" w:hAnsi="Verdana"/>
          <w:b/>
          <w:bCs/>
          <w:sz w:val="22"/>
          <w:szCs w:val="22"/>
        </w:rPr>
        <w:t>Escenario 1</w:t>
      </w:r>
    </w:p>
    <w:p w:rsidR="00940DB4" w:rsidRDefault="00940DB4" w:rsidP="00DB04AB">
      <w:pPr>
        <w:jc w:val="both"/>
        <w:rPr>
          <w:rFonts w:ascii="Verdana" w:hAnsi="Verdana"/>
          <w:sz w:val="22"/>
          <w:szCs w:val="22"/>
        </w:rPr>
      </w:pPr>
    </w:p>
    <w:p w:rsidR="00445CDD" w:rsidRDefault="00445CDD" w:rsidP="00DB04A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Las medidas a adoptar en e</w:t>
      </w:r>
      <w:r w:rsidR="00EC4B5F">
        <w:rPr>
          <w:rFonts w:ascii="Verdana" w:hAnsi="Verdana"/>
          <w:sz w:val="22"/>
          <w:szCs w:val="22"/>
        </w:rPr>
        <w:t>l</w:t>
      </w:r>
      <w:r>
        <w:rPr>
          <w:rFonts w:ascii="Verdana" w:hAnsi="Verdana"/>
          <w:sz w:val="22"/>
          <w:szCs w:val="22"/>
        </w:rPr>
        <w:t xml:space="preserve"> escenario 1</w:t>
      </w:r>
      <w:r w:rsidR="00EC4B5F">
        <w:rPr>
          <w:rFonts w:ascii="Verdana" w:hAnsi="Verdana"/>
          <w:sz w:val="22"/>
          <w:szCs w:val="22"/>
        </w:rPr>
        <w:t xml:space="preserve"> o escenario general</w:t>
      </w:r>
      <w:r>
        <w:rPr>
          <w:rFonts w:ascii="Verdana" w:hAnsi="Verdana"/>
          <w:sz w:val="22"/>
          <w:szCs w:val="22"/>
        </w:rPr>
        <w:t xml:space="preserve"> incluyen la realización de los señalamientos con tiempo suficiente entre ellos para que no haya una gran afluencia de partes y de profesionales esperando la celebración de vistas en un espacio común; la restricción temporal de la asistencia de público a los actos procesales -limitándola a un número de </w:t>
      </w:r>
      <w:r>
        <w:rPr>
          <w:rFonts w:ascii="Verdana" w:hAnsi="Verdana"/>
          <w:sz w:val="22"/>
          <w:szCs w:val="22"/>
        </w:rPr>
        <w:lastRenderedPageBreak/>
        <w:t>personas que permita mantener una distancia de seguridad de un metro- y la utilización en la medida de lo posible del sistema de videoconferencia.</w:t>
      </w:r>
    </w:p>
    <w:p w:rsidR="00EC4B5F" w:rsidRDefault="00EC4B5F" w:rsidP="00DB04AB">
      <w:pPr>
        <w:jc w:val="both"/>
        <w:rPr>
          <w:rFonts w:ascii="Verdana" w:hAnsi="Verdana"/>
          <w:sz w:val="22"/>
          <w:szCs w:val="22"/>
        </w:rPr>
      </w:pPr>
    </w:p>
    <w:p w:rsidR="00EC4B5F" w:rsidRDefault="00CF6B12" w:rsidP="00DB04A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 instrucción</w:t>
      </w:r>
      <w:r w:rsidR="00EC4B5F">
        <w:rPr>
          <w:rFonts w:ascii="Verdana" w:hAnsi="Verdana"/>
          <w:sz w:val="22"/>
          <w:szCs w:val="22"/>
        </w:rPr>
        <w:t xml:space="preserve"> identifica un catálogo de actividades o situaciones de riesgo con las correspondientes recomendaciones (por ejemplo, </w:t>
      </w:r>
      <w:r w:rsidR="003C7E5B">
        <w:rPr>
          <w:rFonts w:ascii="Verdana" w:hAnsi="Verdana"/>
          <w:sz w:val="22"/>
          <w:szCs w:val="22"/>
        </w:rPr>
        <w:t>la</w:t>
      </w:r>
      <w:r w:rsidR="00EC4B5F">
        <w:rPr>
          <w:rFonts w:ascii="Verdana" w:hAnsi="Verdana"/>
          <w:sz w:val="22"/>
          <w:szCs w:val="22"/>
        </w:rPr>
        <w:t xml:space="preserve"> distribución de las citas de presentación periódica de investigados y/o condenados en distintos días y lugares).</w:t>
      </w:r>
    </w:p>
    <w:p w:rsidR="00EC4B5F" w:rsidRDefault="00EC4B5F" w:rsidP="00DB04AB">
      <w:pPr>
        <w:jc w:val="both"/>
        <w:rPr>
          <w:rFonts w:ascii="Verdana" w:hAnsi="Verdana"/>
          <w:sz w:val="22"/>
          <w:szCs w:val="22"/>
        </w:rPr>
      </w:pPr>
    </w:p>
    <w:p w:rsidR="00EC4B5F" w:rsidRPr="00EC4B5F" w:rsidRDefault="00EC4B5F" w:rsidP="00DB04AB">
      <w:pPr>
        <w:jc w:val="both"/>
        <w:rPr>
          <w:rFonts w:ascii="Verdana" w:hAnsi="Verdana"/>
          <w:b/>
          <w:bCs/>
          <w:sz w:val="22"/>
          <w:szCs w:val="22"/>
        </w:rPr>
      </w:pPr>
      <w:r w:rsidRPr="00EC4B5F">
        <w:rPr>
          <w:rFonts w:ascii="Verdana" w:hAnsi="Verdana"/>
          <w:b/>
          <w:bCs/>
          <w:sz w:val="22"/>
          <w:szCs w:val="22"/>
        </w:rPr>
        <w:t>Escenario 2</w:t>
      </w:r>
    </w:p>
    <w:p w:rsidR="00445CDD" w:rsidRDefault="00445CDD" w:rsidP="00DB04AB">
      <w:pPr>
        <w:jc w:val="both"/>
        <w:rPr>
          <w:rFonts w:ascii="Verdana" w:hAnsi="Verdana"/>
          <w:sz w:val="22"/>
          <w:szCs w:val="22"/>
        </w:rPr>
      </w:pPr>
    </w:p>
    <w:p w:rsidR="00EC4B5F" w:rsidRDefault="00445CDD" w:rsidP="00DB04A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El escenario 2 </w:t>
      </w:r>
      <w:r w:rsidR="00EC4B5F">
        <w:rPr>
          <w:rFonts w:ascii="Verdana" w:hAnsi="Verdana"/>
          <w:sz w:val="22"/>
          <w:szCs w:val="22"/>
        </w:rPr>
        <w:t>comprende los territorios en los que se hayan establecido medidas especialmente intensas para limitar la propagación y el contagio por el coronavirus.</w:t>
      </w:r>
    </w:p>
    <w:p w:rsidR="00EC4B5F" w:rsidRDefault="00EC4B5F" w:rsidP="00DB04AB">
      <w:pPr>
        <w:jc w:val="both"/>
        <w:rPr>
          <w:rFonts w:ascii="Verdana" w:hAnsi="Verdana"/>
          <w:sz w:val="22"/>
          <w:szCs w:val="22"/>
        </w:rPr>
      </w:pPr>
    </w:p>
    <w:p w:rsidR="0033434F" w:rsidRDefault="00EC4B5F" w:rsidP="00DB04A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determinación de los territorios en los que hayan de adoptarse las medidas contempladas en este escenario </w:t>
      </w:r>
      <w:r w:rsidR="009D4A4C">
        <w:rPr>
          <w:rFonts w:ascii="Verdana" w:hAnsi="Verdana"/>
          <w:sz w:val="22"/>
          <w:szCs w:val="22"/>
        </w:rPr>
        <w:t xml:space="preserve">será competencia de la Comisión Permanente del CGPJ, de conformidad con las decisiones que en cada momento adopten las autoridades sanitarias. </w:t>
      </w:r>
    </w:p>
    <w:p w:rsidR="0033434F" w:rsidRDefault="0033434F" w:rsidP="00DB04AB">
      <w:pPr>
        <w:jc w:val="both"/>
        <w:rPr>
          <w:rFonts w:ascii="Verdana" w:hAnsi="Verdana"/>
          <w:sz w:val="22"/>
          <w:szCs w:val="22"/>
        </w:rPr>
      </w:pPr>
    </w:p>
    <w:p w:rsidR="0033434F" w:rsidRDefault="0033434F" w:rsidP="009D4A4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9D4A4C">
        <w:rPr>
          <w:rFonts w:ascii="Verdana" w:hAnsi="Verdana"/>
          <w:sz w:val="22"/>
          <w:szCs w:val="22"/>
        </w:rPr>
        <w:t xml:space="preserve">demás de las medidas incluidas en el escenario 1, se contempla para este escenario la </w:t>
      </w:r>
      <w:r w:rsidR="003C7E5B">
        <w:rPr>
          <w:rFonts w:ascii="Verdana" w:hAnsi="Verdana"/>
          <w:sz w:val="22"/>
          <w:szCs w:val="22"/>
        </w:rPr>
        <w:t xml:space="preserve">posibilidad de </w:t>
      </w:r>
      <w:r w:rsidR="00CF6B12">
        <w:rPr>
          <w:rFonts w:ascii="Verdana" w:hAnsi="Verdana"/>
          <w:sz w:val="22"/>
          <w:szCs w:val="22"/>
        </w:rPr>
        <w:t xml:space="preserve">que los jueces acuerden la </w:t>
      </w:r>
      <w:r w:rsidR="009D4A4C">
        <w:rPr>
          <w:rFonts w:ascii="Verdana" w:hAnsi="Verdana"/>
          <w:sz w:val="22"/>
          <w:szCs w:val="22"/>
        </w:rPr>
        <w:t>suspe</w:t>
      </w:r>
      <w:r w:rsidR="00CF6B12">
        <w:rPr>
          <w:rFonts w:ascii="Verdana" w:hAnsi="Verdana"/>
          <w:sz w:val="22"/>
          <w:szCs w:val="22"/>
        </w:rPr>
        <w:t xml:space="preserve">nsión </w:t>
      </w:r>
      <w:r w:rsidR="009D4A4C">
        <w:rPr>
          <w:rFonts w:ascii="Verdana" w:hAnsi="Verdana"/>
          <w:sz w:val="22"/>
          <w:szCs w:val="22"/>
        </w:rPr>
        <w:t xml:space="preserve">de plazos procesales </w:t>
      </w:r>
      <w:r w:rsidR="003C7E5B">
        <w:rPr>
          <w:rFonts w:ascii="Verdana" w:hAnsi="Verdana"/>
          <w:sz w:val="22"/>
          <w:szCs w:val="22"/>
        </w:rPr>
        <w:t>y de actuaciones procesales ya acordadas</w:t>
      </w:r>
      <w:r w:rsidR="00CF6B12">
        <w:rPr>
          <w:rFonts w:ascii="Verdana" w:hAnsi="Verdana"/>
          <w:sz w:val="22"/>
          <w:szCs w:val="22"/>
        </w:rPr>
        <w:t xml:space="preserve"> por razones sanitarias</w:t>
      </w:r>
      <w:r w:rsidR="003C7E5B">
        <w:rPr>
          <w:rFonts w:ascii="Verdana" w:hAnsi="Verdana"/>
          <w:sz w:val="22"/>
          <w:szCs w:val="22"/>
        </w:rPr>
        <w:t>. Estos casos precisarán de la autorización del presidente del tribunal correspondiente</w:t>
      </w:r>
      <w:r w:rsidR="00CF6B12">
        <w:rPr>
          <w:rFonts w:ascii="Verdana" w:hAnsi="Verdana"/>
          <w:sz w:val="22"/>
          <w:szCs w:val="22"/>
        </w:rPr>
        <w:t xml:space="preserve"> y de la ratificación posterior de la Comisión Permanente, sin perjuicio de su ejecución inmediata</w:t>
      </w:r>
      <w:r w:rsidR="009D4A4C">
        <w:rPr>
          <w:rFonts w:ascii="Verdana" w:hAnsi="Verdana"/>
          <w:sz w:val="22"/>
          <w:szCs w:val="22"/>
        </w:rPr>
        <w:t>.</w:t>
      </w:r>
    </w:p>
    <w:p w:rsidR="0033434F" w:rsidRDefault="0033434F" w:rsidP="00DB04AB">
      <w:pPr>
        <w:jc w:val="both"/>
        <w:rPr>
          <w:rFonts w:ascii="Verdana" w:hAnsi="Verdana"/>
          <w:sz w:val="22"/>
          <w:szCs w:val="22"/>
        </w:rPr>
      </w:pPr>
    </w:p>
    <w:p w:rsidR="00CD61C7" w:rsidRDefault="00CF6B12" w:rsidP="00DB04AB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Suspensión de las actividades de Formación Continua</w:t>
      </w:r>
    </w:p>
    <w:p w:rsidR="00CF6B12" w:rsidRDefault="00CF6B12" w:rsidP="00DB04AB">
      <w:pPr>
        <w:jc w:val="both"/>
        <w:rPr>
          <w:rFonts w:ascii="Verdana" w:hAnsi="Verdana"/>
          <w:sz w:val="22"/>
          <w:szCs w:val="22"/>
        </w:rPr>
      </w:pPr>
    </w:p>
    <w:p w:rsidR="00CD61C7" w:rsidRDefault="00CD61C7" w:rsidP="00DB04A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Por otra parte, </w:t>
      </w:r>
      <w:r w:rsidR="00CF6B12">
        <w:rPr>
          <w:rFonts w:ascii="Verdana" w:hAnsi="Verdana"/>
          <w:sz w:val="22"/>
          <w:szCs w:val="22"/>
        </w:rPr>
        <w:t xml:space="preserve">el CGPJ ha acordado suspender desde hoy y hasta el próximo 13 de abril </w:t>
      </w:r>
      <w:r>
        <w:rPr>
          <w:rFonts w:ascii="Verdana" w:hAnsi="Verdana"/>
          <w:sz w:val="22"/>
          <w:szCs w:val="22"/>
        </w:rPr>
        <w:t>las actividades programadas por el Servicio de Formación Continua de la Escuela Judicial</w:t>
      </w:r>
      <w:r w:rsidR="002D77D0">
        <w:rPr>
          <w:rFonts w:ascii="Verdana" w:hAnsi="Verdana"/>
          <w:sz w:val="22"/>
          <w:szCs w:val="22"/>
        </w:rPr>
        <w:t>. Estas actividades, consistentes en la celebración de una veintena de cursos de formación, implicaban el desplazamiento de miembros de la Carrera Judicial destinados en otros territorios hasta Madrid.</w:t>
      </w:r>
      <w:r>
        <w:rPr>
          <w:rFonts w:ascii="Verdana" w:hAnsi="Verdana"/>
          <w:sz w:val="22"/>
          <w:szCs w:val="22"/>
        </w:rPr>
        <w:t xml:space="preserve"> </w:t>
      </w:r>
    </w:p>
    <w:p w:rsidR="00CD61C7" w:rsidRDefault="00CD61C7" w:rsidP="00DB04AB">
      <w:pPr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CD61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376" w:rsidRDefault="00272376">
      <w:r>
        <w:separator/>
      </w:r>
    </w:p>
  </w:endnote>
  <w:endnote w:type="continuationSeparator" w:id="0">
    <w:p w:rsidR="00272376" w:rsidRDefault="0027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B42" w:rsidRDefault="00857B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056" w:rsidRDefault="00C3101F" w:rsidP="00761056">
    <w:pPr>
      <w:pStyle w:val="Piedepgina"/>
      <w:ind w:firstLine="708"/>
      <w:rPr>
        <w:rFonts w:ascii="Verdana" w:hAnsi="Verdana"/>
        <w:sz w:val="20"/>
        <w:szCs w:val="20"/>
      </w:rPr>
    </w:pPr>
    <w:r>
      <w:rPr>
        <w:rFonts w:ascii="Verdana" w:hAnsi="Verdana"/>
        <w:noProof/>
        <w:color w:val="C00000"/>
        <w:sz w:val="20"/>
        <w:szCs w:val="20"/>
      </w:rPr>
      <w:drawing>
        <wp:anchor distT="0" distB="0" distL="114300" distR="114300" simplePos="0" relativeHeight="251660288" behindDoc="1" locked="0" layoutInCell="1" allowOverlap="1" wp14:anchorId="4BA4ADDC" wp14:editId="07AEAB5D">
          <wp:simplePos x="0" y="0"/>
          <wp:positionH relativeFrom="column">
            <wp:posOffset>34290</wp:posOffset>
          </wp:positionH>
          <wp:positionV relativeFrom="paragraph">
            <wp:posOffset>130175</wp:posOffset>
          </wp:positionV>
          <wp:extent cx="285750" cy="207645"/>
          <wp:effectExtent l="0" t="0" r="0" b="1905"/>
          <wp:wrapTight wrapText="bothSides">
            <wp:wrapPolygon edited="0">
              <wp:start x="0" y="0"/>
              <wp:lineTo x="0" y="19817"/>
              <wp:lineTo x="20160" y="19817"/>
              <wp:lineTo x="20160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74D" w:rsidRPr="0064174D">
      <w:rPr>
        <w:rFonts w:ascii="Verdana" w:hAnsi="Verdana"/>
        <w:noProof/>
        <w:color w:val="C0000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F0CB7A" wp14:editId="7ABAE61A">
              <wp:simplePos x="0" y="0"/>
              <wp:positionH relativeFrom="column">
                <wp:posOffset>-3810</wp:posOffset>
              </wp:positionH>
              <wp:positionV relativeFrom="paragraph">
                <wp:posOffset>58420</wp:posOffset>
              </wp:positionV>
              <wp:extent cx="5407200" cy="0"/>
              <wp:effectExtent l="0" t="0" r="222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72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227DD1" id="3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4.6pt" to="425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JhM2AEAAAkEAAAOAAAAZHJzL2Uyb0RvYy54bWysU02P0zAUvCPxHyzfadKWXVDUdA9dLRcE&#10;FSw/wHWeW0v+0rNp0n/Ps5NmV4CQWG0OTmy/Gc/MczZ3gzXsDBi1dy1fLmrOwEnfaXds+Y/Hh3cf&#10;OYtJuE4Y76DlF4j8bvv2zaYPDaz8yZsOkBGJi00fWn5KKTRVFeUJrIgLH8DRpvJoRaIpHqsORU/s&#10;1lSrur6teo9dQC8hRlq9Hzf5tvArBTJ9VSpCYqblpC2VEct4yGO13YjmiCKctJxkiBeosEI7OnSm&#10;uhdJsJ+o/6CyWqKPXqWF9LbySmkJxQO5Wda/ufl+EgGKFwonhjmm+Hq08st5j0x3LV9z5oSlFq3Z&#10;jlolk0eG+ZUz6kNsqHTn9jjNYthjNjwotPlNVthQcr3MucKQmKTFm/f1B2oWZ/K6Vz0BA8b0Cbxl&#10;+aPlRrtsWTTi/DkmOoxKryV52TjWt/x2fVOXquiN7h60MXkv4vGwM8jOgrq9q/OTxRPDszKaGUeL&#10;2dJoonyli4GR/xsoCoRkL8cT8lWEmVZICS6tJl7jqDrDFEmYgZO0fwGn+gyFck3/BzwjysnepRls&#10;tfP4N9lpWE6S1Vh/TWD0nSM4+O5S2luioftWkpv+jXyhn88L/OkP3v4CAAD//wMAUEsDBBQABgAI&#10;AAAAIQBriI5g2wAAAAUBAAAPAAAAZHJzL2Rvd25yZXYueG1sTI7BSsNAFEX3Qv9heIKb0s60YGli&#10;XkoRAgrdtLpwOck8k2jmTcxM2vj3Tt3o8nIv555sN9lOnGnwrWOE1VKBIK6cablGeH0pFlsQPmg2&#10;unNMCN/kYZfPbjKdGnfhI51PoRYRwj7VCE0IfSqlrxqy2i9dTxy7dzdYHWIcamkGfYlw28m1Uhtp&#10;dcvxodE9PTZUfZ5Gi1B8maf582Taw2jfko9VScVBzRHvbqf9A4hAU/gbw1U/qkMenUo3svGiQ1hs&#10;4hAhWYOI7fZeJSDK3yzzTP63z38AAAD//wMAUEsBAi0AFAAGAAgAAAAhALaDOJL+AAAA4QEAABMA&#10;AAAAAAAAAAAAAAAAAAAAAFtDb250ZW50X1R5cGVzXS54bWxQSwECLQAUAAYACAAAACEAOP0h/9YA&#10;AACUAQAACwAAAAAAAAAAAAAAAAAvAQAAX3JlbHMvLnJlbHNQSwECLQAUAAYACAAAACEAuqyYTNgB&#10;AAAJBAAADgAAAAAAAAAAAAAAAAAuAgAAZHJzL2Uyb0RvYy54bWxQSwECLQAUAAYACAAAACEAa4iO&#10;YNsAAAAFAQAADwAAAAAAAAAAAAAAAAAyBAAAZHJzL2Rvd25yZXYueG1sUEsFBgAAAAAEAAQA8wAA&#10;ADoFAAAAAA==&#10;" strokecolor="#c00000" strokeweight=".5pt"/>
          </w:pict>
        </mc:Fallback>
      </mc:AlternateContent>
    </w:r>
  </w:p>
  <w:p w:rsidR="00761056" w:rsidRPr="00761056" w:rsidRDefault="00761056" w:rsidP="00761056">
    <w:pPr>
      <w:pStyle w:val="Piedepgin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    </w:t>
    </w:r>
    <w:r w:rsidRPr="00761056">
      <w:rPr>
        <w:rFonts w:ascii="Verdana" w:hAnsi="Verdana"/>
        <w:sz w:val="20"/>
        <w:szCs w:val="20"/>
      </w:rPr>
      <w:t>@</w:t>
    </w:r>
    <w:proofErr w:type="spellStart"/>
    <w:r w:rsidRPr="00761056">
      <w:rPr>
        <w:rFonts w:ascii="Verdana" w:hAnsi="Verdana"/>
        <w:sz w:val="20"/>
        <w:szCs w:val="20"/>
      </w:rPr>
      <w:t>PoderJudicialE</w:t>
    </w:r>
    <w:r w:rsidR="00857B42">
      <w:rPr>
        <w:rFonts w:ascii="Verdana" w:hAnsi="Verdana"/>
        <w:sz w:val="20"/>
        <w:szCs w:val="20"/>
      </w:rPr>
      <w:t>s</w:t>
    </w:r>
    <w:proofErr w:type="spellEnd"/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hyperlink r:id="rId2" w:history="1">
      <w:r w:rsidRPr="00EC73BD">
        <w:rPr>
          <w:rStyle w:val="Hipervnculo"/>
          <w:rFonts w:ascii="Verdana" w:hAnsi="Verdana"/>
          <w:sz w:val="20"/>
          <w:szCs w:val="20"/>
        </w:rPr>
        <w:t>www.poderjudicial.es</w:t>
      </w:r>
    </w:hyperlink>
    <w:r>
      <w:rPr>
        <w:rFonts w:ascii="Verdana" w:hAnsi="Verdana"/>
        <w:sz w:val="20"/>
        <w:szCs w:val="20"/>
      </w:rPr>
      <w:t xml:space="preserve"> </w:t>
    </w:r>
  </w:p>
  <w:p w:rsidR="00761056" w:rsidRDefault="007610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B42" w:rsidRDefault="00857B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376" w:rsidRDefault="00272376">
      <w:r>
        <w:separator/>
      </w:r>
    </w:p>
  </w:footnote>
  <w:footnote w:type="continuationSeparator" w:id="0">
    <w:p w:rsidR="00272376" w:rsidRDefault="00272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B42" w:rsidRDefault="00857B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470" w:rsidRDefault="00E24154">
    <w:pPr>
      <w:pStyle w:val="Encabezado"/>
    </w:pPr>
    <w:r>
      <w:rPr>
        <w:noProof/>
      </w:rPr>
      <w:drawing>
        <wp:inline distT="0" distB="0" distL="0" distR="0" wp14:anchorId="3A5F6BEE" wp14:editId="79BC6612">
          <wp:extent cx="691610" cy="1035313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226" cy="1039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5470" w:rsidRDefault="0031547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B42" w:rsidRDefault="00857B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C7786"/>
    <w:multiLevelType w:val="hybridMultilevel"/>
    <w:tmpl w:val="02DCE94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52"/>
    <w:rsid w:val="00010C2A"/>
    <w:rsid w:val="00015AF9"/>
    <w:rsid w:val="00016265"/>
    <w:rsid w:val="00022CF2"/>
    <w:rsid w:val="00032FF2"/>
    <w:rsid w:val="00033F0A"/>
    <w:rsid w:val="0003507D"/>
    <w:rsid w:val="00036318"/>
    <w:rsid w:val="00046CE3"/>
    <w:rsid w:val="00051E1C"/>
    <w:rsid w:val="00051FBA"/>
    <w:rsid w:val="00064452"/>
    <w:rsid w:val="00071BDE"/>
    <w:rsid w:val="00076F8B"/>
    <w:rsid w:val="00090115"/>
    <w:rsid w:val="000919EC"/>
    <w:rsid w:val="000A0EEB"/>
    <w:rsid w:val="000A32AF"/>
    <w:rsid w:val="000D02C3"/>
    <w:rsid w:val="000D5AD8"/>
    <w:rsid w:val="0010334D"/>
    <w:rsid w:val="00104A8B"/>
    <w:rsid w:val="00106737"/>
    <w:rsid w:val="00106D52"/>
    <w:rsid w:val="0010700F"/>
    <w:rsid w:val="00126082"/>
    <w:rsid w:val="00136FBE"/>
    <w:rsid w:val="0013733B"/>
    <w:rsid w:val="00156167"/>
    <w:rsid w:val="00162549"/>
    <w:rsid w:val="00163BFD"/>
    <w:rsid w:val="00171DBF"/>
    <w:rsid w:val="001A7292"/>
    <w:rsid w:val="001C18E9"/>
    <w:rsid w:val="001C67A6"/>
    <w:rsid w:val="001D5AE3"/>
    <w:rsid w:val="001F6F10"/>
    <w:rsid w:val="00213F4B"/>
    <w:rsid w:val="0022361A"/>
    <w:rsid w:val="002308C3"/>
    <w:rsid w:val="00232573"/>
    <w:rsid w:val="002327EC"/>
    <w:rsid w:val="00272376"/>
    <w:rsid w:val="002C056F"/>
    <w:rsid w:val="002D77D0"/>
    <w:rsid w:val="002E4FA9"/>
    <w:rsid w:val="002F1E56"/>
    <w:rsid w:val="00301823"/>
    <w:rsid w:val="00302FDB"/>
    <w:rsid w:val="0030598D"/>
    <w:rsid w:val="00313314"/>
    <w:rsid w:val="00315470"/>
    <w:rsid w:val="003206E7"/>
    <w:rsid w:val="00324E38"/>
    <w:rsid w:val="00331815"/>
    <w:rsid w:val="0033434F"/>
    <w:rsid w:val="00340DA9"/>
    <w:rsid w:val="00346B6C"/>
    <w:rsid w:val="00361CA4"/>
    <w:rsid w:val="003713EE"/>
    <w:rsid w:val="003800F4"/>
    <w:rsid w:val="00393527"/>
    <w:rsid w:val="00393A4F"/>
    <w:rsid w:val="00396A7E"/>
    <w:rsid w:val="00397E57"/>
    <w:rsid w:val="003A070C"/>
    <w:rsid w:val="003A36FB"/>
    <w:rsid w:val="003A5909"/>
    <w:rsid w:val="003C091C"/>
    <w:rsid w:val="003C7E5B"/>
    <w:rsid w:val="003D101B"/>
    <w:rsid w:val="003D2555"/>
    <w:rsid w:val="003D7384"/>
    <w:rsid w:val="003D79A0"/>
    <w:rsid w:val="003E470E"/>
    <w:rsid w:val="003F2B54"/>
    <w:rsid w:val="00415BC1"/>
    <w:rsid w:val="00417AFB"/>
    <w:rsid w:val="0042180E"/>
    <w:rsid w:val="00423858"/>
    <w:rsid w:val="00424C43"/>
    <w:rsid w:val="004251B2"/>
    <w:rsid w:val="00430248"/>
    <w:rsid w:val="00441A4E"/>
    <w:rsid w:val="00445CDD"/>
    <w:rsid w:val="00464F54"/>
    <w:rsid w:val="00483116"/>
    <w:rsid w:val="00491E79"/>
    <w:rsid w:val="00494CB8"/>
    <w:rsid w:val="004A3D73"/>
    <w:rsid w:val="004B53EF"/>
    <w:rsid w:val="004E5BFE"/>
    <w:rsid w:val="004F14CA"/>
    <w:rsid w:val="004F1CC8"/>
    <w:rsid w:val="005052FB"/>
    <w:rsid w:val="00506ABA"/>
    <w:rsid w:val="00534123"/>
    <w:rsid w:val="00537978"/>
    <w:rsid w:val="0054006E"/>
    <w:rsid w:val="00540564"/>
    <w:rsid w:val="0055710E"/>
    <w:rsid w:val="00562494"/>
    <w:rsid w:val="0058743A"/>
    <w:rsid w:val="005A3D28"/>
    <w:rsid w:val="005C52F8"/>
    <w:rsid w:val="005D3014"/>
    <w:rsid w:val="005D481D"/>
    <w:rsid w:val="005D53D8"/>
    <w:rsid w:val="005F2B7B"/>
    <w:rsid w:val="005F3122"/>
    <w:rsid w:val="0060437E"/>
    <w:rsid w:val="00630FC3"/>
    <w:rsid w:val="00631016"/>
    <w:rsid w:val="00637EF5"/>
    <w:rsid w:val="00640482"/>
    <w:rsid w:val="006410C6"/>
    <w:rsid w:val="0064174D"/>
    <w:rsid w:val="006421E9"/>
    <w:rsid w:val="00643DB8"/>
    <w:rsid w:val="00644957"/>
    <w:rsid w:val="006451A1"/>
    <w:rsid w:val="00646D75"/>
    <w:rsid w:val="0065235C"/>
    <w:rsid w:val="006544FD"/>
    <w:rsid w:val="00665E4A"/>
    <w:rsid w:val="00672C43"/>
    <w:rsid w:val="006B06A8"/>
    <w:rsid w:val="006C00F5"/>
    <w:rsid w:val="006C17FA"/>
    <w:rsid w:val="006C60F0"/>
    <w:rsid w:val="00711656"/>
    <w:rsid w:val="00715028"/>
    <w:rsid w:val="0072433B"/>
    <w:rsid w:val="00736261"/>
    <w:rsid w:val="00743B16"/>
    <w:rsid w:val="007518F6"/>
    <w:rsid w:val="00761056"/>
    <w:rsid w:val="00791550"/>
    <w:rsid w:val="007A028A"/>
    <w:rsid w:val="007B4FA7"/>
    <w:rsid w:val="007B6BF5"/>
    <w:rsid w:val="0080017D"/>
    <w:rsid w:val="00801AB7"/>
    <w:rsid w:val="0082559A"/>
    <w:rsid w:val="008344F9"/>
    <w:rsid w:val="00850FE1"/>
    <w:rsid w:val="008556C2"/>
    <w:rsid w:val="00857B42"/>
    <w:rsid w:val="00870C45"/>
    <w:rsid w:val="00881BEB"/>
    <w:rsid w:val="008A1414"/>
    <w:rsid w:val="008B18B6"/>
    <w:rsid w:val="008C6BBC"/>
    <w:rsid w:val="008D1265"/>
    <w:rsid w:val="008D40EE"/>
    <w:rsid w:val="00900C88"/>
    <w:rsid w:val="0090452B"/>
    <w:rsid w:val="0091183E"/>
    <w:rsid w:val="00912551"/>
    <w:rsid w:val="00914A2E"/>
    <w:rsid w:val="00940DB4"/>
    <w:rsid w:val="00942161"/>
    <w:rsid w:val="00945BB0"/>
    <w:rsid w:val="00950803"/>
    <w:rsid w:val="00952050"/>
    <w:rsid w:val="00966B79"/>
    <w:rsid w:val="00985EC2"/>
    <w:rsid w:val="009901B3"/>
    <w:rsid w:val="00995DE0"/>
    <w:rsid w:val="009A1CE4"/>
    <w:rsid w:val="009A6D12"/>
    <w:rsid w:val="009A7C7B"/>
    <w:rsid w:val="009B3D1F"/>
    <w:rsid w:val="009B3ED1"/>
    <w:rsid w:val="009C3AC3"/>
    <w:rsid w:val="009D4A4C"/>
    <w:rsid w:val="009E2F15"/>
    <w:rsid w:val="009E3FD2"/>
    <w:rsid w:val="009E735D"/>
    <w:rsid w:val="009F18B8"/>
    <w:rsid w:val="009F1A06"/>
    <w:rsid w:val="009F450F"/>
    <w:rsid w:val="00A20D83"/>
    <w:rsid w:val="00A276BE"/>
    <w:rsid w:val="00A33E9E"/>
    <w:rsid w:val="00A37687"/>
    <w:rsid w:val="00A568C4"/>
    <w:rsid w:val="00A6146F"/>
    <w:rsid w:val="00A62B2D"/>
    <w:rsid w:val="00A80E14"/>
    <w:rsid w:val="00AB629D"/>
    <w:rsid w:val="00AD1F86"/>
    <w:rsid w:val="00AD4CB5"/>
    <w:rsid w:val="00AE1CE2"/>
    <w:rsid w:val="00AF26E7"/>
    <w:rsid w:val="00AF2D66"/>
    <w:rsid w:val="00B04673"/>
    <w:rsid w:val="00B30105"/>
    <w:rsid w:val="00B367CC"/>
    <w:rsid w:val="00B4046E"/>
    <w:rsid w:val="00B52F81"/>
    <w:rsid w:val="00B54748"/>
    <w:rsid w:val="00B54EA2"/>
    <w:rsid w:val="00B642BB"/>
    <w:rsid w:val="00B95DA0"/>
    <w:rsid w:val="00B96B80"/>
    <w:rsid w:val="00BB25DB"/>
    <w:rsid w:val="00BB353D"/>
    <w:rsid w:val="00BB4422"/>
    <w:rsid w:val="00BD7006"/>
    <w:rsid w:val="00C20CC2"/>
    <w:rsid w:val="00C3056A"/>
    <w:rsid w:val="00C3101F"/>
    <w:rsid w:val="00C5648C"/>
    <w:rsid w:val="00C6112C"/>
    <w:rsid w:val="00C61D34"/>
    <w:rsid w:val="00C6342A"/>
    <w:rsid w:val="00C71284"/>
    <w:rsid w:val="00C741D9"/>
    <w:rsid w:val="00C83433"/>
    <w:rsid w:val="00C85288"/>
    <w:rsid w:val="00CA7961"/>
    <w:rsid w:val="00CB521A"/>
    <w:rsid w:val="00CB568C"/>
    <w:rsid w:val="00CB67C9"/>
    <w:rsid w:val="00CC0587"/>
    <w:rsid w:val="00CD2087"/>
    <w:rsid w:val="00CD568F"/>
    <w:rsid w:val="00CD61C7"/>
    <w:rsid w:val="00CD6292"/>
    <w:rsid w:val="00CF06EB"/>
    <w:rsid w:val="00CF4BD2"/>
    <w:rsid w:val="00CF6B12"/>
    <w:rsid w:val="00D01A09"/>
    <w:rsid w:val="00D04C8F"/>
    <w:rsid w:val="00D073A9"/>
    <w:rsid w:val="00D1149E"/>
    <w:rsid w:val="00D133D9"/>
    <w:rsid w:val="00D179DB"/>
    <w:rsid w:val="00D311EE"/>
    <w:rsid w:val="00D521F1"/>
    <w:rsid w:val="00D60894"/>
    <w:rsid w:val="00D60B58"/>
    <w:rsid w:val="00D84AEC"/>
    <w:rsid w:val="00D90B9C"/>
    <w:rsid w:val="00D963FF"/>
    <w:rsid w:val="00D964BB"/>
    <w:rsid w:val="00DA057B"/>
    <w:rsid w:val="00DA4EA3"/>
    <w:rsid w:val="00DB04AB"/>
    <w:rsid w:val="00DB1E5F"/>
    <w:rsid w:val="00DB2C75"/>
    <w:rsid w:val="00DB3654"/>
    <w:rsid w:val="00DD2891"/>
    <w:rsid w:val="00DD39F9"/>
    <w:rsid w:val="00DD5C2B"/>
    <w:rsid w:val="00DE3AF9"/>
    <w:rsid w:val="00DF4A72"/>
    <w:rsid w:val="00E07033"/>
    <w:rsid w:val="00E1215C"/>
    <w:rsid w:val="00E20FA9"/>
    <w:rsid w:val="00E21542"/>
    <w:rsid w:val="00E24154"/>
    <w:rsid w:val="00E247A1"/>
    <w:rsid w:val="00E44205"/>
    <w:rsid w:val="00E4695A"/>
    <w:rsid w:val="00E5296D"/>
    <w:rsid w:val="00E656C7"/>
    <w:rsid w:val="00E9358A"/>
    <w:rsid w:val="00E960AF"/>
    <w:rsid w:val="00EA0EF4"/>
    <w:rsid w:val="00EA1059"/>
    <w:rsid w:val="00EB56D0"/>
    <w:rsid w:val="00EC4B5F"/>
    <w:rsid w:val="00ED0BA6"/>
    <w:rsid w:val="00ED7260"/>
    <w:rsid w:val="00EE68BF"/>
    <w:rsid w:val="00EF1025"/>
    <w:rsid w:val="00EF7E49"/>
    <w:rsid w:val="00F04D3E"/>
    <w:rsid w:val="00F133CF"/>
    <w:rsid w:val="00F25587"/>
    <w:rsid w:val="00F35A2D"/>
    <w:rsid w:val="00F404C6"/>
    <w:rsid w:val="00F41DBA"/>
    <w:rsid w:val="00F42B45"/>
    <w:rsid w:val="00F42D60"/>
    <w:rsid w:val="00F43F5E"/>
    <w:rsid w:val="00F51667"/>
    <w:rsid w:val="00F545C7"/>
    <w:rsid w:val="00F60DD7"/>
    <w:rsid w:val="00F61CEB"/>
    <w:rsid w:val="00FA2DBF"/>
    <w:rsid w:val="00FA3A80"/>
    <w:rsid w:val="00FC3156"/>
    <w:rsid w:val="00FD4201"/>
    <w:rsid w:val="00FE5F8E"/>
    <w:rsid w:val="00FE7A22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3237229-5FCE-442D-AAE4-6A7CE6A0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206E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FE5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E5F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E5F8E"/>
    <w:pPr>
      <w:ind w:left="720"/>
      <w:contextualSpacing/>
    </w:pPr>
  </w:style>
  <w:style w:type="table" w:styleId="Tablaconcuadrcula">
    <w:name w:val="Table Grid"/>
    <w:basedOn w:val="Tablanormal"/>
    <w:rsid w:val="003D1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761056"/>
    <w:rPr>
      <w:sz w:val="24"/>
      <w:szCs w:val="24"/>
    </w:rPr>
  </w:style>
  <w:style w:type="character" w:styleId="Hipervnculo">
    <w:name w:val="Hyperlink"/>
    <w:basedOn w:val="Fuentedeprrafopredeter"/>
    <w:rsid w:val="007610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derjudicial.es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909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CGPJ informa</vt:lpstr>
    </vt:vector>
  </TitlesOfParts>
  <Company>CENDOJ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CGPJ informa</dc:title>
  <dc:creator>azurita</dc:creator>
  <cp:lastModifiedBy>José Asenjo Vallejo</cp:lastModifiedBy>
  <cp:revision>15</cp:revision>
  <cp:lastPrinted>2020-03-11T12:50:00Z</cp:lastPrinted>
  <dcterms:created xsi:type="dcterms:W3CDTF">2020-03-11T10:06:00Z</dcterms:created>
  <dcterms:modified xsi:type="dcterms:W3CDTF">2020-03-11T13:42:00Z</dcterms:modified>
</cp:coreProperties>
</file>